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ind w:firstLine="567"/>
        <w:jc w:val="right"/>
      </w:pPr>
    </w:p>
    <w:p>
      <w:pPr>
        <w:pStyle w:val="Обычный"/>
        <w:spacing w:after="0" w:line="240" w:lineRule="auto"/>
        <w:ind w:firstLine="567"/>
        <w:jc w:val="right"/>
      </w:pPr>
    </w:p>
    <w:p>
      <w:pPr>
        <w:pStyle w:val="Обычный"/>
        <w:spacing w:after="0" w:line="240" w:lineRule="auto"/>
        <w:ind w:firstLine="567"/>
        <w:jc w:val="right"/>
      </w:pPr>
    </w:p>
    <w:p>
      <w:pPr>
        <w:pStyle w:val="Обычный"/>
        <w:spacing w:after="0" w:line="240" w:lineRule="auto"/>
        <w:ind w:firstLine="567"/>
        <w:jc w:val="right"/>
      </w:pP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outline w:val="0"/>
          <w:color w:val="fe1500"/>
          <w14:textFill>
            <w14:solidFill>
              <w14:srgbClr w14:val="FF1500"/>
            </w14:solidFill>
          </w14:textFill>
        </w:rPr>
      </w:pPr>
      <w:r>
        <w:rPr>
          <w:rFonts w:ascii="Times New Roman" w:hAnsi="Times New Roman" w:hint="default"/>
          <w:outline w:val="0"/>
          <w:color w:val="fe1500"/>
          <w:rtl w:val="0"/>
          <w:lang w:val="ru-RU"/>
          <w14:textFill>
            <w14:solidFill>
              <w14:srgbClr w14:val="FF1500"/>
            </w14:solidFill>
          </w14:textFill>
        </w:rPr>
        <w:t>Примерная форма</w:t>
      </w:r>
      <w:r>
        <w:rPr>
          <w:rFonts w:ascii="Times New Roman" w:cs="Times New Roman" w:hAnsi="Times New Roman" w:eastAsia="Times New Roman"/>
          <w:outline w:val="0"/>
          <w:color w:val="fe1500"/>
          <w14:textFill>
            <w14:solidFill>
              <w14:srgbClr w14:val="FF15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-680085</wp:posOffset>
            </wp:positionH>
            <wp:positionV relativeFrom="page">
              <wp:posOffset>233680</wp:posOffset>
            </wp:positionV>
            <wp:extent cx="1536085" cy="1536085"/>
            <wp:effectExtent l="0" t="0" r="0" b="0"/>
            <wp:wrapThrough wrapText="bothSides" distL="152400" distR="152400">
              <wp:wrapPolygon edited="1">
                <wp:start x="2209" y="0"/>
                <wp:lineTo x="19784" y="98"/>
                <wp:lineTo x="20864" y="736"/>
                <wp:lineTo x="21453" y="1669"/>
                <wp:lineTo x="21600" y="2209"/>
                <wp:lineTo x="21502" y="19784"/>
                <wp:lineTo x="20864" y="20864"/>
                <wp:lineTo x="19931" y="21453"/>
                <wp:lineTo x="19391" y="21600"/>
                <wp:lineTo x="1816" y="21502"/>
                <wp:lineTo x="736" y="20864"/>
                <wp:lineTo x="147" y="19931"/>
                <wp:lineTo x="0" y="19391"/>
                <wp:lineTo x="98" y="1816"/>
                <wp:lineTo x="736" y="736"/>
                <wp:lineTo x="1669" y="147"/>
                <wp:lineTo x="2209" y="0"/>
              </wp:wrapPolygon>
            </wp:wrapThrough>
            <wp:docPr id="1073741825" name="officeArt object" descr="Frame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ame 3.png" descr="Frame 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85" cy="1536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u w:val="single"/>
          <w:rtl w:val="0"/>
          <w:lang w:val="ru-RU"/>
        </w:rPr>
        <w:t xml:space="preserve">ООО </w:t>
      </w:r>
      <w:r>
        <w:rPr>
          <w:rFonts w:ascii="Times New Roman" w:hAnsi="Times New Roman"/>
          <w:i w:val="1"/>
          <w:iCs w:val="1"/>
          <w:u w:val="single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u w:val="single"/>
          <w:rtl w:val="0"/>
          <w:lang w:val="ru-RU"/>
        </w:rPr>
        <w:t>Ромашка</w:t>
      </w:r>
      <w:r>
        <w:rPr>
          <w:rFonts w:ascii="Times New Roman" w:hAnsi="Times New Roman"/>
          <w:i w:val="1"/>
          <w:iCs w:val="1"/>
          <w:u w:val="single"/>
          <w:rtl w:val="0"/>
          <w:lang w:val="ru-RU"/>
        </w:rPr>
        <w:t>"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наименование организации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УТВЕРЖДАЮ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u w:val="single"/>
          <w:rtl w:val="0"/>
          <w:lang w:val="ru-RU"/>
        </w:rPr>
        <w:t>    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руководитель организации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иное должностное лицо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уполномоченное утверждать инструктаж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u w:val="single"/>
          <w:rtl w:val="0"/>
          <w:lang w:val="ru-RU"/>
        </w:rPr>
        <w:t>    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инициалы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подпись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u w:val="single"/>
          <w:rtl w:val="0"/>
          <w:lang w:val="ru-RU"/>
        </w:rPr>
        <w:t>     </w:t>
      </w:r>
      <w:r>
        <w:rPr>
          <w:rFonts w:ascii="Times New Roman" w:hAnsi="Times New Roman"/>
          <w:rtl w:val="0"/>
          <w:lang w:val="ru-RU"/>
        </w:rPr>
        <w:t xml:space="preserve">" </w:t>
      </w:r>
      <w:r>
        <w:rPr>
          <w:rFonts w:ascii="Times New Roman" w:hAnsi="Times New Roman" w:hint="default"/>
          <w:u w:val="single"/>
          <w:rtl w:val="0"/>
          <w:lang w:val="ru-RU"/>
        </w:rPr>
        <w:t>    </w:t>
      </w:r>
      <w:r>
        <w:rPr>
          <w:rFonts w:ascii="Times New Roman" w:hAnsi="Times New Roman"/>
          <w:rtl w:val="0"/>
          <w:lang w:val="ru-RU"/>
        </w:rPr>
        <w:t xml:space="preserve"> 20 </w:t>
      </w:r>
      <w:r>
        <w:rPr>
          <w:rFonts w:ascii="Times New Roman" w:hAnsi="Times New Roman" w:hint="default"/>
          <w:u w:val="single"/>
          <w:rtl w:val="0"/>
          <w:lang w:val="ru-RU"/>
        </w:rPr>
        <w:t>    </w:t>
      </w:r>
      <w:r>
        <w:rPr>
          <w:rFonts w:ascii="Times New Roman" w:hAnsi="Times New Roman" w:hint="default"/>
          <w:rtl w:val="0"/>
          <w:lang w:val="ru-RU"/>
        </w:rPr>
        <w:t xml:space="preserve"> 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8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pacing w:val="-8"/>
          <w:sz w:val="28"/>
          <w:szCs w:val="28"/>
          <w:rtl w:val="0"/>
          <w:lang w:val="ru-RU"/>
        </w:rPr>
        <w:t>Программа мониторинга подземных вод на водозаборном участке</w:t>
      </w:r>
      <w:r>
        <w:rPr>
          <w:rFonts w:ascii="Times New Roman" w:hAnsi="Times New Roman"/>
          <w:b w:val="1"/>
          <w:bCs w:val="1"/>
          <w:spacing w:val="-8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-8"/>
          <w:sz w:val="28"/>
          <w:szCs w:val="28"/>
          <w:rtl w:val="0"/>
          <w:lang w:val="ru-RU"/>
        </w:rPr>
        <w:t xml:space="preserve">эксплуатируемом предприятием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8"/>
          <w:sz w:val="28"/>
          <w:szCs w:val="28"/>
          <w:rtl w:val="0"/>
          <w:lang w:val="ru-RU"/>
        </w:rPr>
        <w:t xml:space="preserve">ООО </w:t>
      </w:r>
      <w:r>
        <w:rPr>
          <w:rFonts w:ascii="Times New Roman" w:hAnsi="Times New Roman"/>
          <w:b w:val="1"/>
          <w:bCs w:val="1"/>
          <w:i w:val="1"/>
          <w:iCs w:val="1"/>
          <w:spacing w:val="-8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8"/>
          <w:sz w:val="28"/>
          <w:szCs w:val="28"/>
          <w:rtl w:val="0"/>
          <w:lang w:val="ru-RU"/>
        </w:rPr>
        <w:t>Ромашка</w:t>
      </w:r>
      <w:r>
        <w:rPr>
          <w:rFonts w:ascii="Times New Roman" w:hAnsi="Times New Roman"/>
          <w:b w:val="1"/>
          <w:bCs w:val="1"/>
          <w:i w:val="1"/>
          <w:iCs w:val="1"/>
          <w:spacing w:val="-8"/>
          <w:sz w:val="28"/>
          <w:szCs w:val="28"/>
          <w:rtl w:val="0"/>
          <w:lang w:val="ru-RU"/>
        </w:rPr>
        <w:t>"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>название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8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  <w:lang w:val="ru-RU"/>
        </w:rPr>
        <w:t>СОДЕРЖАНИЕ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Цель и область применения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3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Общие сведения о водозаборе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3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Геологическое строение района водозабора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3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Гидрогеологические условия района водозабора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4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Мероприятия по мониторингу подземных вод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4</w:t>
      </w:r>
    </w:p>
    <w:p>
      <w:pPr>
        <w:pStyle w:val="Обычный"/>
        <w:tabs>
          <w:tab w:val="left" w:pos="8849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Наблюдения за уровнем подземных вод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4</w:t>
      </w:r>
    </w:p>
    <w:p>
      <w:pPr>
        <w:pStyle w:val="Обычный"/>
        <w:tabs>
          <w:tab w:val="left" w:pos="8849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Наблюдения за температурой подземных вод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4</w:t>
      </w:r>
    </w:p>
    <w:p>
      <w:pPr>
        <w:pStyle w:val="Обычный"/>
        <w:tabs>
          <w:tab w:val="left" w:pos="8849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Наблюдения за величиной отбора объема воды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5</w:t>
      </w:r>
    </w:p>
    <w:p>
      <w:pPr>
        <w:pStyle w:val="Обычный"/>
        <w:tabs>
          <w:tab w:val="left" w:pos="8849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Наблюдения за качеством подземных вод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5</w:t>
      </w:r>
    </w:p>
    <w:p>
      <w:pPr>
        <w:pStyle w:val="Обычный"/>
        <w:tabs>
          <w:tab w:val="left" w:pos="8849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5.5.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Наблюдения за техническим состоянием водозаборных скважин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5</w:t>
      </w:r>
    </w:p>
    <w:p>
      <w:pPr>
        <w:pStyle w:val="Обычный"/>
        <w:tabs>
          <w:tab w:val="left" w:pos="8849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5.6.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Наблюдения за состоянием зоны санитарной охраны водозабора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6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Ведение документации в рамках мониторинга подземных вод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6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>Специалист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ответственный за осуществление мониторинга подземных вод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7</w:t>
      </w:r>
    </w:p>
    <w:p>
      <w:pPr>
        <w:pStyle w:val="Обычный"/>
        <w:tabs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pacing w:val="-8"/>
          <w:sz w:val="24"/>
          <w:szCs w:val="24"/>
          <w:rtl w:val="0"/>
          <w:lang w:val="ru-RU"/>
        </w:rPr>
        <w:t xml:space="preserve">Список сопутствующих документов </w:t>
        <w:tab/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>7</w:t>
      </w:r>
    </w:p>
    <w:p>
      <w:pPr>
        <w:pStyle w:val="Обычный"/>
        <w:spacing w:after="0"/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и область применения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программа мониторинга подземных вод разработана во исполнение требований законодательства о недрах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применяется на предприятии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ООО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Ромашка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Выполнение мероприятий по наблюдению за режимом эксплуатации водозаборного участка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в настоящей программе мониторинга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получать информацию об изменениях качества подземных вод и предусматривать необходимые мероприятия для предотвращения их загрязнения и истощения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отслеживать положение уровня подземных вод в эксплуатационных скважинах и заблаговременно регулировать глубину погружения насоса во избежание его выхода из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влияние водоотбора на состояние подземных вод конкретного водозабора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управлять режимом эксплуатации водозаборных сооружений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оценить состояние эксплуатируемого объекта и соответствие этого состояния требованиям действующих нормативов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стандартов и условиям лицензии на пользование недрами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Мероприятия по организации и ведению мониторинга подземных вод на водозаборном участке осуществляются собственными силами предприятия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ООО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Ромашка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посредством привлечения аккредитованной лаборатории с целью выполнения химического анализа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сторонние организации не привлекаются к мониторингу подземных вод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необходимо скорректировать вышеприведенный абзац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сведения о водозаборе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лицензии на право добычи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кем выдана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срок действия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использования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 расположение водозаборного участка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субъекта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Водозаборный участок принадлежит к бассейну рек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Годовая сумма осадков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Глубина промерзания почвы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Геологическое строение района водозабора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разделе можно указать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геологическое строение территории района расположения источника водоснабжения и общая характеристика его гидрогеологических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тип выбранного водоносного горизонта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артезианский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грунтовый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безнапорный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глубину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абсолютную отметку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залегания кровли водоносного горизонта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мощность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водовмещающие породы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трещиноватые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известняки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и места питания и разгрузки водоносного горизонта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общие сведения о водообильности горизонта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эксплуатационного запаса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существующем и перспективном использовании водоносного горизонта для водоснабжения и других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Гидрогеологические условия района водозабора</w:t>
      </w:r>
    </w:p>
    <w:p>
      <w:pPr>
        <w:pStyle w:val="Обычный"/>
        <w:spacing w:after="0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разделе можно отобразить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общие сведения о гидрогеологических условиях района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питания водоносных слоев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предполагаемых к использованию для водоснабжения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топографическую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почвенную и санитарную характеристику участка водозабора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характеристику водоносного горизонта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намечаемого к эксплуатации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литологический состав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мощность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 перекрытия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динамический уровень воды при расчетном водоотборе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Мероприятия по мониторингу подземных вод</w:t>
      </w: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Наблюдения за уровнем подземных вод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определения уровня вод в эксплуатируемом водоносном горизонте проводятся регулярные наблюдения за уровнем подземных вод в водозаборных скважинах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водозаборных скважин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Частота проведения наблюдений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измерения уровня воды в эксплуатационных скважинах используются уровнемеры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измерения глубины уровня подземных вод производятся от края обсадной или пьезометрической трубы с последующим вычитанием из замера высоты патрубка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превышение края обсадной или пьезометрической трубы над поверхностью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значения глубины залегания подземных вод от поверхности земли заносятся в журнал наблюдений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Измерение уровня производится два раза подряд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второй раз получается новый отсчет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двукратное измерение повторяется снова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Наблюдения за температурой подземных вод</w:t>
      </w: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водозаборные скважины располагаются на участках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наблюдается тепловое загрязнение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осуществляется наблюдение за температурой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Наблюдения проводятся одновременно с наблюдениями за уровнем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Измерения осуществляются специальными приборами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водяными термометрами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электронными регистраторами температур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интервале установки фильтра при остановке скважины или на изливе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измерениях термометр находится в воде в течение нескольких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Отсчет по нему производится немедленно после извлечения его из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Точность измерений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отсчитываются десятые доли градуса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целые градусы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измерений температур подземных вод записываются в журнал наблюдений непосредственно около скважины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измерений все результаты заносятся в таблицу в этот же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Наблюдения за величиной отбора объема воды</w:t>
      </w: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Водозаборные скважины оборудованы специальными водомерами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Водолей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фиксирующими величину отбора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водозаборных скважин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Частота проведения наблюдений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значения заносятся в журнал учёта водопотребления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также фиксируется время работы насоса в скважине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Фиксация величины водоотбора в журнале учета водопотребления при круглосуточной работе скважины должна проводится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раз 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суток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при прерывистой работе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перед каждой остановкой скважины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Наблюдения за качеством подземных вод</w:t>
      </w: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Наблюдения за качеством подземных вод с целью изучения изменения их химического состава в процессе эксплуатации и контроля за соответствием действующим нормативам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проводятся с учетом лицензионных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требований ГОСТ </w:t>
      </w:r>
      <w:r>
        <w:rPr>
          <w:rFonts w:ascii="Times New Roman" w:hAnsi="Times New Roman"/>
          <w:sz w:val="24"/>
          <w:szCs w:val="24"/>
          <w:rtl w:val="0"/>
          <w:lang w:val="ru-RU"/>
        </w:rPr>
        <w:t>2761-84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централизованного хозяйственно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питьевого водоснабжения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требования и правила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Список контролируемых нормируемых показателей устанавливается в зависимости от местных природных геолого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гидрогеологических и гидрогеохимических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особенностей антропогенной нагрузки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Перечень контролируемых нормируемых показателей и периодичность отбора проб представлен в Приложении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настоящей 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Отбор и анализ проб воды осуществляется аккредитованными лабораториями на основании соответствующих договоров в соответствии с актуальными методиками измерений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Наблюдения за техническим состоянием водозаборных скважин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Наблюдения за техническим состоянием водозаборных скважин осуществляется в соответствии с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технической эксплуатации систем и сооружений коммунального водоснабжения и канализации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технического состояния водозаборных скважин проводится по мере необходимости при выявлении неисправности в работе водозаборных скважин и водоподъемного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реже одного раза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устанавливается состояние обсадных труб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водоприемной части скважины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насосного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промеряется глубина скважины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производится извлечение водоподъемника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скважины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оценивается его состояние и возможность последующего использования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при осуществлении проверки состояния водозаборных скважин осуществляется полная разборка и очистка насосного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проведенных ремонтных и профилактических работ отображаются в акте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указываются полученные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краткая характеристика и состав проведенных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Наблюдения за состоянием зоны санитарной охраны водозабора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Зоны санитарной охраны водозабора организованы и эксплуатируются в соответствии с требованиями 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2.1.4.1110-02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Зоны санитарной охраны источников водоснабжения и водопроводов питьевого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Наблюдения за состоянием зон санитарной охраны водозабора осуществляется по мере необходимости при ухудшении качества добываемой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менее одного раза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Обследование зон санитарной охраны водозабора осуществляется совместно с представителями Роспотребнадзора с целью выявления источников возможного загрязнения подземных вод и проверки соблюдения установленного регламента хозяйственной деятельности в их границах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обследования составляется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указываются источники и причины выявленного или возможного загрязнения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рекомендации по устранению установленных недостатков и срок их ликвидации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Ведение документации в рамках мониторинга подземных вод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осуществления мониторинга подземных вод ведется документация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журнал учета водопотребления в соответствии с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Приказом Минприроды России от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09.11.2020 N 903 "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 утверждении Порядка ведения собственниками водных объектов и водопользователями учета объема забора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изъятия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водных ресурсов из водных объектов и объема сброса сточных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дренажных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качества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 наблюдений за уровнем и температурой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 регистрации отбора проб воды и их направления в аккредитованные лаборатории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приложением результатов выполняемых анализов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 работы водозабора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содержатся сведения о его работе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ремонты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длительные простои и прочее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приложением актов обследования водозаборов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ходе мониторинга подземных 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применяются для заполнения формы статистической отчетности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N 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водхоз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Специалист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ответственный за осуществление мониторинга подземных вод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e-mail: ________________________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сопутствующих документов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21.02.1992 N 2395-1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недрах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Водный кодекс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Методические рекомендации по организации и ведению мониторинга подземных вод на мелких групповых водозаборах и одиночных эксплуатационных скважинах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утвержденные Приказом Минприроды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25.07.2000;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 </w:t>
      </w:r>
      <w:r>
        <w:rPr>
          <w:rFonts w:ascii="Times New Roman" w:hAnsi="Times New Roman"/>
          <w:sz w:val="24"/>
          <w:szCs w:val="24"/>
          <w:rtl w:val="0"/>
          <w:lang w:val="ru-RU"/>
        </w:rPr>
        <w:t>2761-84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централизованного хозяйственно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питьевого водоснабжения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требования и правила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2.1.4.1110-02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